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1AA69" w14:textId="1BE5A5D6" w:rsidR="0067010E" w:rsidRPr="00166EF9" w:rsidRDefault="0067010E" w:rsidP="00166EF9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smallCaps/>
          <w:sz w:val="28"/>
          <w:szCs w:val="28"/>
          <w:lang w:eastAsia="sk-SK"/>
        </w:rPr>
      </w:pPr>
      <w:r w:rsidRPr="00166EF9">
        <w:rPr>
          <w:rFonts w:ascii="Garamond" w:eastAsia="Times New Roman" w:hAnsi="Garamond" w:cs="Times New Roman"/>
          <w:smallCaps/>
          <w:sz w:val="28"/>
          <w:szCs w:val="28"/>
          <w:lang w:eastAsia="sk-SK"/>
        </w:rPr>
        <w:t>Sylabus k predmetu</w:t>
      </w:r>
    </w:p>
    <w:p w14:paraId="35135536" w14:textId="5417B6AB" w:rsidR="0067010E" w:rsidRPr="00166EF9" w:rsidRDefault="0067010E" w:rsidP="00166EF9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b/>
          <w:bCs/>
          <w:smallCaps/>
          <w:sz w:val="28"/>
          <w:szCs w:val="28"/>
          <w:lang w:eastAsia="sk-SK"/>
        </w:rPr>
      </w:pPr>
      <w:r w:rsidRPr="00166EF9">
        <w:rPr>
          <w:rFonts w:ascii="Garamond" w:eastAsia="Times New Roman" w:hAnsi="Garamond" w:cs="Times New Roman"/>
          <w:b/>
          <w:bCs/>
          <w:smallCaps/>
          <w:sz w:val="28"/>
          <w:szCs w:val="28"/>
          <w:lang w:eastAsia="sk-SK"/>
        </w:rPr>
        <w:t>Tlmočenie 2 (</w:t>
      </w:r>
      <w:proofErr w:type="spellStart"/>
      <w:r w:rsidRPr="00166EF9">
        <w:rPr>
          <w:rFonts w:ascii="Garamond" w:eastAsia="Times New Roman" w:hAnsi="Garamond" w:cs="Times New Roman"/>
          <w:b/>
          <w:bCs/>
          <w:smallCaps/>
          <w:sz w:val="28"/>
          <w:szCs w:val="28"/>
          <w:lang w:eastAsia="sk-SK"/>
        </w:rPr>
        <w:t>konzekutívne</w:t>
      </w:r>
      <w:proofErr w:type="spellEnd"/>
      <w:r w:rsidRPr="00166EF9">
        <w:rPr>
          <w:rFonts w:ascii="Garamond" w:eastAsia="Times New Roman" w:hAnsi="Garamond" w:cs="Times New Roman"/>
          <w:b/>
          <w:bCs/>
          <w:smallCaps/>
          <w:sz w:val="28"/>
          <w:szCs w:val="28"/>
          <w:lang w:eastAsia="sk-SK"/>
        </w:rPr>
        <w:t>)</w:t>
      </w:r>
    </w:p>
    <w:p w14:paraId="41B8D501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6AD05FC7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491373AF" w14:textId="77777777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Vyučujúci: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 xml:space="preserve">doc. Mgr. et Mgr. Adriána </w:t>
      </w:r>
      <w:proofErr w:type="spellStart"/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Koželová</w:t>
      </w:r>
      <w:proofErr w:type="spellEnd"/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, PhD.</w:t>
      </w:r>
    </w:p>
    <w:p w14:paraId="0A49D4B9" w14:textId="77777777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Študijný odbor: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>Filológia</w:t>
      </w:r>
    </w:p>
    <w:p w14:paraId="4D727002" w14:textId="77777777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Študijný program: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 xml:space="preserve">Prekladateľstvo a tlmočníctvo: francúzsky jazyk a kultúra </w:t>
      </w:r>
    </w:p>
    <w:p w14:paraId="3A3FDC69" w14:textId="34DE15BF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Forma výučby:   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="001B6361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>2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>S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– prezenčne a/alebo dištančne</w:t>
      </w:r>
    </w:p>
    <w:p w14:paraId="3EF78043" w14:textId="77777777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Forma hodnotenia: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>PH</w:t>
      </w:r>
    </w:p>
    <w:p w14:paraId="38005532" w14:textId="1B437027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Ukončenie predmetu: 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="001A6FA1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praktický tlmočnícky výkon s notáciou</w:t>
      </w:r>
    </w:p>
    <w:p w14:paraId="0F43A00B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305F7820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>Cieľ predmetu:</w:t>
      </w:r>
    </w:p>
    <w:p w14:paraId="59902AF5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Schopnosť vytvoriť resumé počutého textu. </w:t>
      </w:r>
    </w:p>
    <w:p w14:paraId="0ACCCFD9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Schopnosť deliť pozornosť medzi súbežné tlmočnícke činnosti.</w:t>
      </w:r>
    </w:p>
    <w:p w14:paraId="6E4E7F50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Získanie základných zručností pre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tlmočenie. </w:t>
      </w:r>
    </w:p>
    <w:p w14:paraId="547704D7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Praktické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z francúzskeho do slovenského jazyka s notáciou (nízka až stredná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).</w:t>
      </w:r>
    </w:p>
    <w:p w14:paraId="750191C8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58429227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Stručná osnova predmetu: </w:t>
      </w:r>
    </w:p>
    <w:p w14:paraId="0CEDBC9C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Príprava študentov na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autentického textu (z francúzskeho do slovenského jazyka). Klasifikácia hovorených textov, vyvodenie záverov pre tlmočenie. Špecifiká sprostredkovanej komunikácie. Technika reči (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mimorečové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okolnosti v rečníctve, defektné prvky prejavu, špecifiká prejavu v SJ).</w:t>
      </w:r>
    </w:p>
    <w:p w14:paraId="1769695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Základné techniky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konzekutívneho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tlmočenia, pamäťové cvičenia, vytvorenie resumé počutého textu.</w:t>
      </w:r>
    </w:p>
    <w:p w14:paraId="41FBF392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Praktický nácvik tlmočenia s notáciou – nízka až stredná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</w:t>
      </w:r>
    </w:p>
    <w:p w14:paraId="79BBF942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3B565549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Podmienky na absolvovanie predmetu: </w:t>
      </w:r>
    </w:p>
    <w:p w14:paraId="7A12922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1. Vyžaduje sa aktívna účasť na seminároch (domáca príprava lexiky k téme, prednes textu vo FJ a v SJ). </w:t>
      </w:r>
    </w:p>
    <w:p w14:paraId="357EE58C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2. V priebehu semestra (cca polovica) študent absolvuje prvé priebežné praktické tlmočenie z FJ do SJ s</w:t>
      </w:r>
      <w:r w:rsidR="00865B62">
        <w:rPr>
          <w:rFonts w:ascii="Garamond" w:eastAsia="Times New Roman" w:hAnsi="Garamond" w:cs="Times New Roman"/>
          <w:bCs/>
          <w:sz w:val="24"/>
          <w:szCs w:val="24"/>
          <w:lang w:eastAsia="sk-SK"/>
        </w:rPr>
        <w:t> výkonom tlmočníckej notácie (</w:t>
      </w: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známy text, tematicky blízky tlmočeným textom počas semestra).  </w:t>
      </w:r>
    </w:p>
    <w:p w14:paraId="603908FE" w14:textId="77777777" w:rsidR="0067010E" w:rsidRDefault="00CC46F3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3</w:t>
      </w:r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V zápočtovom týždni študent absolvuje druhé priebežné praktické </w:t>
      </w:r>
      <w:proofErr w:type="spellStart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z FJ do SJ s výkonom tlmočníckej notácie (stredná až nízka </w:t>
      </w:r>
      <w:proofErr w:type="spellStart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; neznámy text, tematicky blízky tlmočeným textom počas semestra). </w:t>
      </w:r>
    </w:p>
    <w:p w14:paraId="071AF003" w14:textId="77777777" w:rsidR="00C52959" w:rsidRPr="00C52959" w:rsidRDefault="00C52959" w:rsidP="00C52959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C5295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Hodnotenie oboch priebežných tlmočníckych výkonov musí byť minimálne na známku E.</w:t>
      </w:r>
    </w:p>
    <w:p w14:paraId="6B64F904" w14:textId="77777777" w:rsidR="000E1FD3" w:rsidRPr="000E1FD3" w:rsidRDefault="000E1FD3" w:rsidP="000E1FD3">
      <w:pPr>
        <w:tabs>
          <w:tab w:val="left" w:pos="708"/>
        </w:tabs>
        <w:spacing w:line="240" w:lineRule="auto"/>
        <w:rPr>
          <w:rFonts w:ascii="Garamond" w:hAnsi="Garamond"/>
          <w:b/>
          <w:sz w:val="24"/>
          <w:szCs w:val="24"/>
          <w:lang w:val="fr-FR"/>
        </w:rPr>
      </w:pPr>
    </w:p>
    <w:p w14:paraId="1BB1FF13" w14:textId="05DB9E78" w:rsidR="000E1FD3" w:rsidRDefault="000E1FD3" w:rsidP="000E1FD3">
      <w:pPr>
        <w:tabs>
          <w:tab w:val="left" w:pos="708"/>
        </w:tabs>
        <w:spacing w:line="240" w:lineRule="auto"/>
        <w:rPr>
          <w:rFonts w:ascii="Garamond" w:hAnsi="Garamond"/>
          <w:b/>
          <w:sz w:val="24"/>
          <w:szCs w:val="24"/>
          <w:lang w:val="fr-FR"/>
        </w:rPr>
      </w:pPr>
      <w:r w:rsidRPr="000E1FD3">
        <w:rPr>
          <w:rFonts w:ascii="Garamond" w:hAnsi="Garamond"/>
          <w:b/>
          <w:sz w:val="24"/>
          <w:szCs w:val="24"/>
          <w:lang w:val="fr-FR"/>
        </w:rPr>
        <w:t xml:space="preserve">Účasť na seminároch je povinná v rozsahu trvania celého semestra. Neúčasť na seminári je potrebné dokladovať lekárskym potvrdením. </w:t>
      </w:r>
    </w:p>
    <w:p w14:paraId="0F4DBF84" w14:textId="77777777" w:rsidR="00FD6504" w:rsidRPr="00FD6504" w:rsidRDefault="00FD6504" w:rsidP="00FD6504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FF0000"/>
          <w:sz w:val="24"/>
          <w:szCs w:val="24"/>
          <w:lang w:val="fr-FR" w:eastAsia="sk-SK"/>
        </w:rPr>
      </w:pPr>
      <w:r w:rsidRPr="00FD6504">
        <w:rPr>
          <w:rFonts w:ascii="Garamond" w:eastAsia="Times New Roman" w:hAnsi="Garamond" w:cs="Times New Roman"/>
          <w:b/>
          <w:color w:val="FF0000"/>
          <w:sz w:val="24"/>
          <w:szCs w:val="24"/>
          <w:lang w:val="fr-FR" w:eastAsia="sk-SK"/>
        </w:rPr>
        <w:t xml:space="preserve">Prezenčná forma výučby sa kedykoľvek v priebehu semestra môže nahradiť, meniť a kombinovať s dištančnou formou, a to v závislosti od aktuálnej epidemiologickej situácie. Študijná skupina sa riadi rozhodnutím Prešovskej univerzity (na základe odporúčaní Úradu verejného zdravotníctva Slovenskej republiky alebo iných kompetentných orgánov). </w:t>
      </w:r>
    </w:p>
    <w:p w14:paraId="34B8F5BC" w14:textId="77777777" w:rsidR="00FD6504" w:rsidRPr="00FD6504" w:rsidRDefault="00FD6504" w:rsidP="00FD6504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FF0000"/>
          <w:sz w:val="24"/>
          <w:szCs w:val="24"/>
          <w:lang w:val="fr-FR" w:eastAsia="sk-SK"/>
        </w:rPr>
      </w:pPr>
      <w:r w:rsidRPr="00FD6504">
        <w:rPr>
          <w:rFonts w:ascii="Garamond" w:eastAsia="Times New Roman" w:hAnsi="Garamond" w:cs="Times New Roman"/>
          <w:b/>
          <w:color w:val="FF0000"/>
          <w:sz w:val="24"/>
          <w:szCs w:val="24"/>
          <w:lang w:val="fr-FR" w:eastAsia="sk-SK"/>
        </w:rPr>
        <w:t xml:space="preserve">V prípade prechodu na dištančnú formu výučby platia nezmenené podmienky absolvovania predmetu. Vyučovanie v elektronickej forme prebieha v tom istom čase ako je určené v rozvrhu pre príslušnú študijnú skupinu prostredníctvom aplikácie Teams, príp. mailovou komunikáciou s vyučujúcim. </w:t>
      </w:r>
    </w:p>
    <w:p w14:paraId="555B1EE2" w14:textId="77777777" w:rsidR="00FD6504" w:rsidRPr="000E1FD3" w:rsidRDefault="00FD6504" w:rsidP="000E1FD3">
      <w:pPr>
        <w:tabs>
          <w:tab w:val="left" w:pos="708"/>
        </w:tabs>
        <w:spacing w:line="240" w:lineRule="auto"/>
        <w:rPr>
          <w:rFonts w:ascii="Garamond" w:hAnsi="Garamond"/>
          <w:b/>
          <w:sz w:val="24"/>
          <w:szCs w:val="24"/>
          <w:lang w:val="fr-FR"/>
        </w:rPr>
      </w:pPr>
    </w:p>
    <w:p w14:paraId="16932FA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lastRenderedPageBreak/>
        <w:t>Hodnotenie:</w:t>
      </w:r>
    </w:p>
    <w:p w14:paraId="2798ED65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Výsledné hodnotenie bude priemerom známok z oboch častí:</w:t>
      </w:r>
    </w:p>
    <w:p w14:paraId="30D80499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A: 100% - 90%; B: 89% - 80%; C: 79% - 70%; D: 69% - 60%; E: 59% - 50%.</w:t>
      </w:r>
    </w:p>
    <w:p w14:paraId="6A35314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15B1615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Odporúčaná literatúra: </w:t>
      </w:r>
    </w:p>
    <w:p w14:paraId="50F1196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ČEŇKOVÁ, I.: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Teorie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a didaktika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tlumočení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 Praha: UK, 2001.</w:t>
      </w:r>
    </w:p>
    <w:p w14:paraId="4C697956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JANOVCOVÁ, E. – HROMEČKOVÁ, D.: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Audioorální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program pro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simultánní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tlumočení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 Praha: SPN, 1982.</w:t>
      </w:r>
    </w:p>
    <w:p w14:paraId="0560B30F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MELICHERČÍKOVÁ, M.:  Cvičenia podporujúce nácvik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konzekutívnych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tlmočníckych</w:t>
      </w:r>
    </w:p>
    <w:p w14:paraId="69C1FF9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zručností. In: Preklad a kultúra 4.  Nitra – Bratislava: UKF, Ústav svetovej literatúry SAV, 2012. </w:t>
      </w:r>
    </w:p>
    <w:p w14:paraId="527840F1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MUGLOVÁ, D.: Komunikácia. Tlmočenie. Preklad alebo Prečo spadla Babylonská veža? Nitra: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Enigma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, 2009.</w:t>
      </w:r>
    </w:p>
    <w:p w14:paraId="6A6030A5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OPALKOVÁ, J.: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I. Prešov: Prešovská univerzita, 2011. </w:t>
      </w:r>
    </w:p>
    <w:p w14:paraId="073714A5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RÁBEKOVÁ, S. – RACLAVSKÁ, J. – VILÍMEK, V.: Cvičebnice pro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rozvíjení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kognitivních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dovedností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tlumočníků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Ostrava: Filozofická fakulta OU, 2011. </w:t>
      </w:r>
    </w:p>
    <w:p w14:paraId="671FA43A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SELESKOVITCH,  D. – LEDERER, M.: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Pédagogie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raisonnée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de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l’interprétation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Paris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Didier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érud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., 1989.</w:t>
      </w:r>
    </w:p>
    <w:p w14:paraId="43EC3E4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ŠTEFČÍK, J.: Základy tlmočenia alebo ako didakticky začať. In: Preklad a kultúra 4. Nitra – Bratislava: UKF, Ústav svetovej literatúry SAV, 2012.</w:t>
      </w:r>
    </w:p>
    <w:p w14:paraId="591F0C21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ŠTEFČÍK, J.: Metodická príprava na súdne tlmočenie. Nitra: UKF, 2011. </w:t>
      </w:r>
    </w:p>
    <w:p w14:paraId="17212702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VESELÁ, D.: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a simultánne tlmočenie z francúzskeho jazyka. Texty a cvičenia. Banská Bystrica: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FiF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UMB, 2006. </w:t>
      </w:r>
    </w:p>
    <w:p w14:paraId="6DE2231C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VESELÁ, D.: Tlmočenie z francúzskeho jazyka: texty a cvičenia. Banská Bystrica: Vydavateľstvo UMB –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Belianum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, FHV UMB, 2013.</w:t>
      </w:r>
    </w:p>
    <w:p w14:paraId="1769C988" w14:textId="77777777" w:rsidR="00A81D62" w:rsidRPr="000E1FD3" w:rsidRDefault="00A81D62">
      <w:pPr>
        <w:rPr>
          <w:sz w:val="24"/>
          <w:szCs w:val="24"/>
        </w:rPr>
      </w:pPr>
    </w:p>
    <w:sectPr w:rsidR="00A81D62" w:rsidRPr="000E1F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61BC9" w14:textId="77777777" w:rsidR="00F57C42" w:rsidRDefault="00F57C42">
      <w:pPr>
        <w:spacing w:after="0" w:line="240" w:lineRule="auto"/>
      </w:pPr>
      <w:r>
        <w:separator/>
      </w:r>
    </w:p>
  </w:endnote>
  <w:endnote w:type="continuationSeparator" w:id="0">
    <w:p w14:paraId="3FF4B215" w14:textId="77777777" w:rsidR="00F57C42" w:rsidRDefault="00F57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A8EFD" w14:textId="77777777" w:rsidR="006C7584" w:rsidRDefault="006C758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EA6EF" w14:textId="77777777" w:rsidR="006C7584" w:rsidRDefault="006C758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077EE" w14:textId="77777777" w:rsidR="006C7584" w:rsidRDefault="006C758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86FE4" w14:textId="77777777" w:rsidR="00F57C42" w:rsidRDefault="00F57C42">
      <w:pPr>
        <w:spacing w:after="0" w:line="240" w:lineRule="auto"/>
      </w:pPr>
      <w:r>
        <w:separator/>
      </w:r>
    </w:p>
  </w:footnote>
  <w:footnote w:type="continuationSeparator" w:id="0">
    <w:p w14:paraId="04A2016B" w14:textId="77777777" w:rsidR="00F57C42" w:rsidRDefault="00F57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1A9E" w14:textId="77777777" w:rsidR="006C7584" w:rsidRDefault="006C758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C7DF8" w14:textId="77777777" w:rsidR="000C4693" w:rsidRPr="000C4693" w:rsidRDefault="0067010E" w:rsidP="000C4693">
    <w:pPr>
      <w:pStyle w:val="Hlavika"/>
      <w:jc w:val="center"/>
      <w:rPr>
        <w:rFonts w:ascii="Garamond" w:hAnsi="Garamond"/>
        <w:i/>
        <w:sz w:val="16"/>
        <w:szCs w:val="16"/>
      </w:rPr>
    </w:pPr>
    <w:r w:rsidRPr="000C4693">
      <w:rPr>
        <w:rFonts w:ascii="Garamond" w:hAnsi="Garamond"/>
        <w:i/>
        <w:sz w:val="16"/>
        <w:szCs w:val="16"/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CC2C9" w14:textId="77777777" w:rsidR="006C7584" w:rsidRDefault="006C758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27A"/>
    <w:rsid w:val="000E1FD3"/>
    <w:rsid w:val="00166EF9"/>
    <w:rsid w:val="001A6FA1"/>
    <w:rsid w:val="001B6361"/>
    <w:rsid w:val="0022633A"/>
    <w:rsid w:val="0067010E"/>
    <w:rsid w:val="006C7584"/>
    <w:rsid w:val="00721C95"/>
    <w:rsid w:val="00865B62"/>
    <w:rsid w:val="009C727A"/>
    <w:rsid w:val="00A81D62"/>
    <w:rsid w:val="00AA72F5"/>
    <w:rsid w:val="00BB77B8"/>
    <w:rsid w:val="00C37DF8"/>
    <w:rsid w:val="00C52959"/>
    <w:rsid w:val="00CC46F3"/>
    <w:rsid w:val="00EA55D9"/>
    <w:rsid w:val="00F57C42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37E1"/>
  <w15:docId w15:val="{60547678-A5A2-4B34-83C1-D04E7C09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7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010E"/>
  </w:style>
  <w:style w:type="paragraph" w:styleId="Pta">
    <w:name w:val="footer"/>
    <w:basedOn w:val="Normlny"/>
    <w:link w:val="PtaChar"/>
    <w:uiPriority w:val="99"/>
    <w:unhideWhenUsed/>
    <w:rsid w:val="006C7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71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Adriana Kozelova</cp:lastModifiedBy>
  <cp:revision>12</cp:revision>
  <dcterms:created xsi:type="dcterms:W3CDTF">2018-03-18T15:07:00Z</dcterms:created>
  <dcterms:modified xsi:type="dcterms:W3CDTF">2021-02-08T17:38:00Z</dcterms:modified>
</cp:coreProperties>
</file>